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80241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802414">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802414" w:rsidRPr="0080241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8037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B63538" w:rsidRDefault="00B63538" w:rsidP="00B63538">
            <w:pPr>
              <w:pStyle w:val="Default"/>
              <w:rPr>
                <w:lang w:val="en-US"/>
              </w:rPr>
            </w:pPr>
            <w:r w:rsidRPr="00F2103C">
              <w:rPr>
                <w:bCs/>
              </w:rPr>
              <w:t>тел</w:t>
            </w:r>
            <w:r w:rsidRPr="00F2103C">
              <w:rPr>
                <w:bCs/>
                <w:lang w:val="en-US"/>
              </w:rPr>
              <w:t>. + 7 (347) 221-56-50, e-mail:</w:t>
            </w:r>
            <w:r w:rsidRPr="00F2103C">
              <w:rPr>
                <w:rFonts w:eastAsia="Times New Roman"/>
                <w:color w:val="777777"/>
                <w:lang w:val="en-US" w:eastAsia="ru-RU"/>
              </w:rPr>
              <w:t xml:space="preserve"> </w:t>
            </w:r>
            <w:hyperlink r:id="rId17" w:history="1">
              <w:r w:rsidRPr="00F2103C">
                <w:rPr>
                  <w:rStyle w:val="a3"/>
                  <w:lang w:val="en-US"/>
                </w:rPr>
                <w:t>v.semenov@bashtel.ru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63538"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63538">
            <w:r>
              <w:t>«</w:t>
            </w:r>
            <w:r w:rsidR="00B63538">
              <w:t>14</w:t>
            </w:r>
            <w:r w:rsidR="0014229A" w:rsidRPr="005C24A0">
              <w:t>»</w:t>
            </w:r>
            <w:r w:rsidR="008878A6">
              <w:t xml:space="preserve"> </w:t>
            </w:r>
            <w:r w:rsidR="00B63538">
              <w:t>июля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A5B04">
              <w:t>14</w:t>
            </w:r>
            <w:r w:rsidR="00722D2F" w:rsidRPr="005C24A0">
              <w:t>»</w:t>
            </w:r>
            <w:r w:rsidR="00444B9D">
              <w:t xml:space="preserve"> </w:t>
            </w:r>
            <w:r w:rsidR="00AA5B04">
              <w:t>июля</w:t>
            </w:r>
            <w:r w:rsidR="00722D2F">
              <w:t xml:space="preserve"> </w:t>
            </w:r>
            <w:r w:rsidRPr="0078652E">
              <w:t>201</w:t>
            </w:r>
            <w:r w:rsidR="00722D2F">
              <w:t>6</w:t>
            </w:r>
            <w:r w:rsidRPr="0078652E">
              <w:t xml:space="preserve"> г. в 1</w:t>
            </w:r>
            <w:r w:rsidR="00B1187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A5B04">
              <w:t>0</w:t>
            </w:r>
            <w:r w:rsidR="00B11876">
              <w:t>3</w:t>
            </w:r>
            <w:r w:rsidRPr="0078652E">
              <w:t xml:space="preserve">» </w:t>
            </w:r>
            <w:r w:rsidR="00AA5B04">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AA5B04">
            <w:pPr>
              <w:rPr>
                <w:highlight w:val="lightGray"/>
              </w:rPr>
            </w:pPr>
            <w:r w:rsidRPr="0078652E">
              <w:t>«</w:t>
            </w:r>
            <w:r w:rsidR="00AA5B04">
              <w:t>0</w:t>
            </w:r>
            <w:r w:rsidR="00B11876">
              <w:t>3</w:t>
            </w:r>
            <w:r w:rsidRPr="0078652E">
              <w:t xml:space="preserve">» </w:t>
            </w:r>
            <w:r w:rsidR="00AA5B04">
              <w:t xml:space="preserve">августа </w:t>
            </w:r>
            <w:r w:rsidR="005E58BA" w:rsidRPr="00607E86">
              <w:t>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AA5B04">
              <w:t>05</w:t>
            </w:r>
            <w:r w:rsidRPr="000F4823">
              <w:t xml:space="preserve">» </w:t>
            </w:r>
            <w:r w:rsidR="00AA5B04">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AA5B04">
              <w:t>05</w:t>
            </w:r>
            <w:r w:rsidRPr="000F4823">
              <w:t xml:space="preserve">» </w:t>
            </w:r>
            <w:r w:rsidR="00AA5B04">
              <w:t>августа</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A5B04">
              <w:t>12</w:t>
            </w:r>
            <w:r w:rsidRPr="000F4823">
              <w:t>»</w:t>
            </w:r>
            <w:r w:rsidR="00722D2F">
              <w:t xml:space="preserve"> </w:t>
            </w:r>
            <w:r w:rsidR="00AA5B04">
              <w:t>августа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3538" w:rsidRPr="003D1CCA" w:rsidRDefault="00B63538" w:rsidP="00B63538">
            <w:pPr>
              <w:autoSpaceDE w:val="0"/>
              <w:autoSpaceDN w:val="0"/>
              <w:adjustRightInd w:val="0"/>
              <w:jc w:val="both"/>
            </w:pPr>
            <w:r>
              <w:rPr>
                <w:b/>
                <w:color w:val="000000"/>
              </w:rPr>
              <w:t>Выполнение работ по установлению охранных зон линейных объектов</w:t>
            </w:r>
            <w:r>
              <w:rPr>
                <w:b/>
              </w:rPr>
              <w:t>.</w:t>
            </w:r>
            <w:r w:rsidRPr="00BE2DAA">
              <w:rPr>
                <w:b/>
              </w:rPr>
              <w:t xml:space="preserve">  </w:t>
            </w:r>
            <w:r w:rsidRPr="00BE2DAA">
              <w:t xml:space="preserve"> </w:t>
            </w:r>
          </w:p>
          <w:p w:rsidR="0014229A" w:rsidRPr="00227C39" w:rsidRDefault="00B63538" w:rsidP="00B63538">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363F" w:rsidRPr="001D3803" w:rsidRDefault="001E363F" w:rsidP="001E363F">
            <w:pPr>
              <w:jc w:val="both"/>
              <w:rPr>
                <w:iCs/>
              </w:rPr>
            </w:pPr>
            <w:r w:rsidRPr="001D3803">
              <w:rPr>
                <w:iCs/>
              </w:rPr>
              <w:t>Начальная (максимальная) цена договора составляет:</w:t>
            </w:r>
          </w:p>
          <w:p w:rsidR="001E363F" w:rsidRDefault="001E363F" w:rsidP="001E363F">
            <w:pPr>
              <w:autoSpaceDE w:val="0"/>
              <w:autoSpaceDN w:val="0"/>
              <w:adjustRightInd w:val="0"/>
              <w:jc w:val="both"/>
              <w:rPr>
                <w:rFonts w:eastAsia="Calibri"/>
                <w:b/>
                <w:iCs/>
              </w:rPr>
            </w:pPr>
            <w:r>
              <w:rPr>
                <w:rFonts w:eastAsia="Calibri"/>
                <w:b/>
                <w:iCs/>
              </w:rPr>
              <w:t>2 969 540,00 (Два миллиона девятьсот шестьдесят девять тысяч пятьсот сорок)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452 980,68 </w:t>
            </w:r>
            <w:r w:rsidRPr="001D3803">
              <w:rPr>
                <w:rFonts w:eastAsia="Calibri"/>
                <w:b/>
                <w:iCs/>
              </w:rPr>
              <w:t>рублей.</w:t>
            </w:r>
          </w:p>
          <w:p w:rsidR="001E363F" w:rsidRDefault="001E363F" w:rsidP="001E363F">
            <w:pPr>
              <w:autoSpaceDE w:val="0"/>
              <w:autoSpaceDN w:val="0"/>
              <w:adjustRightInd w:val="0"/>
              <w:jc w:val="both"/>
              <w:rPr>
                <w:iCs/>
              </w:rPr>
            </w:pPr>
            <w:r w:rsidRPr="001D3803">
              <w:rPr>
                <w:iCs/>
              </w:rPr>
              <w:t>Начальная (максимальная) цена</w:t>
            </w:r>
            <w:r>
              <w:rPr>
                <w:iCs/>
              </w:rPr>
              <w:t xml:space="preserve"> без НДС составляет 2 516 559,32 рублей.</w:t>
            </w:r>
          </w:p>
          <w:p w:rsidR="001E363F" w:rsidRPr="00334BD4" w:rsidRDefault="001E363F" w:rsidP="001E363F">
            <w:pPr>
              <w:autoSpaceDE w:val="0"/>
              <w:autoSpaceDN w:val="0"/>
              <w:adjustRightInd w:val="0"/>
              <w:jc w:val="both"/>
              <w:rPr>
                <w:rFonts w:eastAsia="Calibri"/>
                <w:b/>
                <w:iCs/>
              </w:rPr>
            </w:pPr>
            <w:r w:rsidRPr="00334BD4">
              <w:rPr>
                <w:b/>
                <w:iCs/>
              </w:rPr>
              <w:t>Начальная (максимальная) цена за 1 километр составляет 4 000,00 рублей с НДС.</w:t>
            </w:r>
          </w:p>
          <w:p w:rsidR="0014229A" w:rsidRDefault="001E363F" w:rsidP="001E363F">
            <w:pPr>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w:t>
                  </w:r>
                  <w:r w:rsidR="0014229A" w:rsidRPr="00561F9A">
                    <w:rPr>
                      <w:rFonts w:cs="Arial"/>
                      <w:color w:val="000000"/>
                    </w:rPr>
                    <w:lastRenderedPageBreak/>
                    <w:t xml:space="preserve">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w:t>
                  </w:r>
                  <w:r w:rsidR="0014229A" w:rsidRPr="00F84878">
                    <w:rPr>
                      <w:rFonts w:eastAsia="Calibri" w:cs="Arial"/>
                      <w:color w:val="000000"/>
                    </w:rPr>
                    <w:lastRenderedPageBreak/>
                    <w:t>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621D2C" w:rsidRPr="00F84878" w:rsidTr="0039437F">
              <w:trPr>
                <w:trHeight w:val="1089"/>
              </w:trPr>
              <w:tc>
                <w:tcPr>
                  <w:tcW w:w="3572" w:type="dxa"/>
                  <w:shd w:val="clear" w:color="auto" w:fill="auto"/>
                </w:tcPr>
                <w:p w:rsidR="00621D2C" w:rsidRPr="00813CC1" w:rsidRDefault="00621D2C" w:rsidP="00621D2C">
                  <w:pPr>
                    <w:jc w:val="both"/>
                    <w:rPr>
                      <w:b/>
                      <w:i/>
                      <w:color w:val="FF0000"/>
                    </w:rPr>
                  </w:pPr>
                  <w:r w:rsidRPr="00813CC1">
                    <w:t>Наличие опыта исполнения договоров на выполнение работ</w:t>
                  </w:r>
                  <w:r>
                    <w:t>,</w:t>
                  </w:r>
                  <w:r w:rsidRPr="00813CC1">
                    <w:t xml:space="preserve">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w:t>
                  </w:r>
                </w:p>
              </w:tc>
              <w:tc>
                <w:tcPr>
                  <w:tcW w:w="3827" w:type="dxa"/>
                  <w:shd w:val="clear" w:color="auto" w:fill="auto"/>
                </w:tcPr>
                <w:p w:rsidR="00621D2C" w:rsidRPr="00813CC1" w:rsidRDefault="00621D2C" w:rsidP="00AA5B04">
                  <w:pPr>
                    <w:jc w:val="both"/>
                    <w:rPr>
                      <w:b/>
                      <w:color w:val="FF0000"/>
                    </w:rPr>
                  </w:pPr>
                  <w:r w:rsidRPr="00813CC1">
                    <w:t>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w:t>
                  </w:r>
                </w:p>
              </w:tc>
            </w:tr>
            <w:tr w:rsidR="00621D2C" w:rsidRPr="00F84878" w:rsidTr="0039437F">
              <w:trPr>
                <w:trHeight w:val="1089"/>
              </w:trPr>
              <w:tc>
                <w:tcPr>
                  <w:tcW w:w="3572" w:type="dxa"/>
                  <w:shd w:val="clear" w:color="auto" w:fill="auto"/>
                </w:tcPr>
                <w:p w:rsidR="00621D2C" w:rsidRPr="00813CC1" w:rsidRDefault="00AA5B04" w:rsidP="00AA5B04">
                  <w:pPr>
                    <w:jc w:val="both"/>
                  </w:pPr>
                  <w:r w:rsidRPr="007A1CCF">
                    <w:t>Претендент должен иметь необходимую профессиональную (в том числе, техническую) квалификацию, достаточную для исполнения договора количество персонала основных специальностей, ИТР, достаточные для исполнения договора собственные</w:t>
                  </w:r>
                  <w:r w:rsidRPr="00564274">
                    <w:t xml:space="preserve"> </w:t>
                  </w:r>
                  <w:r>
                    <w:t>и/или</w:t>
                  </w:r>
                  <w:r w:rsidRPr="007A1CCF">
                    <w:t xml:space="preserve"> </w:t>
                  </w:r>
                  <w:r>
                    <w:t xml:space="preserve">арендованные </w:t>
                  </w:r>
                  <w:r w:rsidRPr="007A1CCF">
                    <w:t>материально-технические ресурсы</w:t>
                  </w:r>
                </w:p>
              </w:tc>
              <w:tc>
                <w:tcPr>
                  <w:tcW w:w="3827" w:type="dxa"/>
                  <w:shd w:val="clear" w:color="auto" w:fill="auto"/>
                </w:tcPr>
                <w:p w:rsidR="00621D2C" w:rsidRDefault="00AA5B04" w:rsidP="00AA5B04">
                  <w:pPr>
                    <w:jc w:val="both"/>
                  </w:pPr>
                  <w:r w:rsidRPr="008118F8">
                    <w:t>Письмо Претендента о наличии необходимого для исполнения договора количества собственных и/или арендованных ресурсов (персонала и техники) по нижеприведенной форме:</w:t>
                  </w:r>
                </w:p>
                <w:tbl>
                  <w:tblPr>
                    <w:tblW w:w="4135" w:type="dxa"/>
                    <w:tblLayout w:type="fixed"/>
                    <w:tblLook w:val="04A0"/>
                  </w:tblPr>
                  <w:tblGrid>
                    <w:gridCol w:w="2155"/>
                    <w:gridCol w:w="1980"/>
                  </w:tblGrid>
                  <w:tr w:rsidR="00AA5B04" w:rsidRPr="007A1CCF" w:rsidTr="00AA5B04">
                    <w:trPr>
                      <w:trHeight w:val="315"/>
                    </w:trPr>
                    <w:tc>
                      <w:tcPr>
                        <w:tcW w:w="2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Ресурсы</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Количество</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Персонал</w:t>
                        </w:r>
                      </w:p>
                    </w:tc>
                    <w:tc>
                      <w:tcPr>
                        <w:tcW w:w="1980" w:type="dxa"/>
                        <w:tcBorders>
                          <w:top w:val="nil"/>
                          <w:left w:val="nil"/>
                          <w:bottom w:val="single" w:sz="4" w:space="0" w:color="auto"/>
                          <w:right w:val="single" w:sz="4" w:space="0" w:color="auto"/>
                        </w:tcBorders>
                        <w:shd w:val="clear" w:color="auto" w:fill="auto"/>
                        <w:vAlign w:val="center"/>
                        <w:hideMark/>
                      </w:tcPr>
                      <w:p w:rsidR="00AA5B04" w:rsidRPr="00474EFA" w:rsidRDefault="00AA5B04" w:rsidP="00AA5B04">
                        <w:pPr>
                          <w:jc w:val="both"/>
                          <w:rPr>
                            <w:b/>
                          </w:rPr>
                        </w:pPr>
                        <w:r w:rsidRPr="00AA5B04">
                          <w:t> </w:t>
                        </w:r>
                        <w:r w:rsidR="00474EFA" w:rsidRPr="00474EFA">
                          <w:rPr>
                            <w:b/>
                          </w:rPr>
                          <w:t xml:space="preserve">Человек </w:t>
                        </w:r>
                      </w:p>
                    </w:tc>
                  </w:tr>
                  <w:tr w:rsidR="00AA5B04" w:rsidRPr="007A1CCF" w:rsidTr="00AA5B04">
                    <w:trPr>
                      <w:trHeight w:val="1170"/>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Геодезист</w:t>
                        </w:r>
                      </w:p>
                    </w:tc>
                    <w:tc>
                      <w:tcPr>
                        <w:tcW w:w="1980" w:type="dxa"/>
                        <w:tcBorders>
                          <w:top w:val="nil"/>
                          <w:left w:val="nil"/>
                          <w:bottom w:val="single" w:sz="4" w:space="0" w:color="auto"/>
                          <w:right w:val="single" w:sz="4" w:space="0" w:color="auto"/>
                        </w:tcBorders>
                        <w:shd w:val="clear" w:color="auto" w:fill="auto"/>
                        <w:vAlign w:val="center"/>
                        <w:hideMark/>
                      </w:tcPr>
                      <w:p w:rsidR="00AA5B04" w:rsidRPr="00AA5B04" w:rsidRDefault="00AA5B04" w:rsidP="00AA5B04">
                        <w:pPr>
                          <w:ind w:right="596"/>
                          <w:jc w:val="both"/>
                        </w:pPr>
                        <w:r w:rsidRPr="00AA5B04">
                          <w:t>Не менее 5</w:t>
                        </w:r>
                      </w:p>
                    </w:tc>
                  </w:tr>
                  <w:tr w:rsidR="00AA5B04" w:rsidRPr="007A1CCF" w:rsidTr="00AA5B04">
                    <w:trPr>
                      <w:trHeight w:val="945"/>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Кадастровый инженер</w:t>
                        </w:r>
                      </w:p>
                    </w:tc>
                    <w:tc>
                      <w:tcPr>
                        <w:tcW w:w="1980" w:type="dxa"/>
                        <w:tcBorders>
                          <w:top w:val="nil"/>
                          <w:left w:val="nil"/>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Не менее 5</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rPr>
                            <w:b/>
                          </w:rPr>
                        </w:pPr>
                        <w:r w:rsidRPr="00AA5B04">
                          <w:rPr>
                            <w:b/>
                          </w:rPr>
                          <w:t xml:space="preserve">Приборы, </w:t>
                        </w:r>
                        <w:r w:rsidRPr="00AA5B04">
                          <w:rPr>
                            <w:b/>
                          </w:rPr>
                          <w:lastRenderedPageBreak/>
                          <w:t>приспособления, программное обеспечение</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r w:rsidRPr="00AA5B04">
                          <w:lastRenderedPageBreak/>
                          <w:t>Спутниковые геодезические двухчастотные приемники GPS или ГЛОНАСС</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Не менее 1</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r w:rsidRPr="00AA5B04">
                          <w:t>Электронные тахеометры со среднеквадратической погрешностью измерения угла не более (1 разряд полигонометрии - 5'')</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Не менее 1</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proofErr w:type="spellStart"/>
                        <w:r w:rsidRPr="00AA5B04">
                          <w:t>Трассоискатель</w:t>
                        </w:r>
                        <w:proofErr w:type="spellEnd"/>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Не менее 1</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proofErr w:type="gramStart"/>
                        <w:r w:rsidRPr="00AA5B04">
                          <w:t>Наличие приборов (тип ТЕОДОЛИТ, либо GSM (NEC), MOTOROLLA для съемки местности и координирования точек прохождения ВОЛС</w:t>
                        </w:r>
                        <w:proofErr w:type="gramEnd"/>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не менее 1</w:t>
                        </w:r>
                      </w:p>
                    </w:tc>
                  </w:tr>
                  <w:tr w:rsidR="00AA5B04" w:rsidRPr="007A1CCF" w:rsidTr="00AA5B04">
                    <w:trPr>
                      <w:trHeight w:val="630"/>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rPr>
                            <w:bCs/>
                          </w:rPr>
                        </w:pPr>
                        <w:proofErr w:type="gramStart"/>
                        <w:r w:rsidRPr="00AA5B04">
                          <w:rPr>
                            <w:bCs/>
                          </w:rPr>
                          <w:t>Комплект программного обеспечения для составления графических материалов (</w:t>
                        </w:r>
                        <w:r w:rsidRPr="00AA5B04">
                          <w:t>(</w:t>
                        </w:r>
                        <w:r w:rsidRPr="00AA5B04">
                          <w:rPr>
                            <w:lang w:val="en-US"/>
                          </w:rPr>
                          <w:t>MapInfo</w:t>
                        </w:r>
                        <w:r w:rsidRPr="00AA5B04">
                          <w:t xml:space="preserve">, </w:t>
                        </w:r>
                        <w:proofErr w:type="spellStart"/>
                        <w:r w:rsidRPr="00AA5B04">
                          <w:rPr>
                            <w:lang w:val="en-US"/>
                          </w:rPr>
                          <w:t>Arcview</w:t>
                        </w:r>
                        <w:proofErr w:type="spellEnd"/>
                        <w:r w:rsidRPr="00AA5B04">
                          <w:t xml:space="preserve">, </w:t>
                        </w:r>
                        <w:r w:rsidRPr="00AA5B04">
                          <w:rPr>
                            <w:lang w:val="en-US"/>
                          </w:rPr>
                          <w:t>AutoCAD</w:t>
                        </w:r>
                        <w:r w:rsidRPr="00AA5B04">
                          <w:t xml:space="preserve">, </w:t>
                        </w:r>
                        <w:proofErr w:type="spellStart"/>
                        <w:r w:rsidRPr="00AA5B04">
                          <w:t>Credo</w:t>
                        </w:r>
                        <w:proofErr w:type="spellEnd"/>
                        <w:r w:rsidRPr="00AA5B04">
                          <w:t>)</w:t>
                        </w:r>
                        <w:proofErr w:type="gramEnd"/>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Комплект</w:t>
                        </w:r>
                      </w:p>
                    </w:tc>
                  </w:tr>
                </w:tbl>
                <w:p w:rsidR="00AA5B04" w:rsidRDefault="00AA5B04" w:rsidP="00AA5B04">
                  <w:pPr>
                    <w:jc w:val="both"/>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621D2C">
                  <w:pPr>
                    <w:pStyle w:val="a4"/>
                    <w:ind w:left="0"/>
                    <w:rPr>
                      <w:rFonts w:cs="Arial"/>
                      <w:color w:val="000000"/>
                    </w:rPr>
                  </w:pPr>
                  <w:r w:rsidRPr="006603A3">
                    <w:rPr>
                      <w:rFonts w:cs="Arial"/>
                      <w:color w:val="000000"/>
                    </w:rPr>
                    <w:t>9</w:t>
                  </w:r>
                  <w:r w:rsidR="00621D2C">
                    <w:rPr>
                      <w:rFonts w:cs="Arial"/>
                      <w:color w:val="000000"/>
                    </w:rPr>
                    <w:t>7</w:t>
                  </w:r>
                  <w:r w:rsidR="00281CCB">
                    <w:rPr>
                      <w:rFonts w:cs="Arial"/>
                      <w:color w:val="000000"/>
                    </w:rPr>
                    <w:t>%</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621D2C" w:rsidTr="00ED6883">
              <w:tc>
                <w:tcPr>
                  <w:tcW w:w="3459" w:type="dxa"/>
                  <w:shd w:val="clear" w:color="auto" w:fill="auto"/>
                </w:tcPr>
                <w:p w:rsidR="00621D2C" w:rsidRPr="00F2050A" w:rsidRDefault="00621D2C" w:rsidP="00AA5B04">
                  <w:r w:rsidRPr="00F2050A">
                    <w:t>Сроки оплаты по договору</w:t>
                  </w:r>
                </w:p>
              </w:tc>
              <w:tc>
                <w:tcPr>
                  <w:tcW w:w="992" w:type="dxa"/>
                  <w:shd w:val="clear" w:color="auto" w:fill="auto"/>
                </w:tcPr>
                <w:p w:rsidR="00621D2C" w:rsidRPr="00F2050A" w:rsidRDefault="00621D2C" w:rsidP="00AA5B04">
                  <w:r>
                    <w:t>3</w:t>
                  </w:r>
                  <w:r w:rsidRPr="00F2050A">
                    <w:t>%</w:t>
                  </w:r>
                </w:p>
              </w:tc>
              <w:tc>
                <w:tcPr>
                  <w:tcW w:w="3119" w:type="dxa"/>
                  <w:shd w:val="clear" w:color="auto" w:fill="auto"/>
                </w:tcPr>
                <w:p w:rsidR="00621D2C" w:rsidRPr="00F2050A" w:rsidRDefault="00621D2C" w:rsidP="00AA5B04">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5B04" w:rsidRPr="00F2103C" w:rsidRDefault="00AA5B04" w:rsidP="00AA5B04">
            <w:pPr>
              <w:autoSpaceDE w:val="0"/>
              <w:autoSpaceDN w:val="0"/>
              <w:adjustRightInd w:val="0"/>
              <w:jc w:val="both"/>
            </w:pPr>
            <w:r w:rsidRPr="00F2103C">
              <w:t>Место оказания услуг: определяются Техническим заданием (Приложение №1 к Документации о закупке) и условиями договора (Приложение № 2 к Документации о закупке).</w:t>
            </w:r>
          </w:p>
          <w:p w:rsidR="00AA5B04" w:rsidRPr="00F2103C" w:rsidRDefault="00AA5B04" w:rsidP="00AA5B04">
            <w:pPr>
              <w:pStyle w:val="a4"/>
              <w:tabs>
                <w:tab w:val="left" w:pos="567"/>
                <w:tab w:val="left" w:pos="1134"/>
              </w:tabs>
              <w:ind w:left="0"/>
              <w:jc w:val="both"/>
              <w:rPr>
                <w:color w:val="000000" w:themeColor="text1"/>
              </w:rPr>
            </w:pPr>
            <w:r w:rsidRPr="00F2103C">
              <w:rPr>
                <w:color w:val="000000" w:themeColor="text1"/>
              </w:rPr>
              <w:t>Договор вступает в силу с момента его подписания и действует до 31.12.2016г.</w:t>
            </w:r>
          </w:p>
          <w:p w:rsidR="00AA5B04" w:rsidRPr="00F2103C" w:rsidRDefault="00AA5B04" w:rsidP="00AA5B04">
            <w:pPr>
              <w:pStyle w:val="a4"/>
              <w:tabs>
                <w:tab w:val="left" w:pos="567"/>
                <w:tab w:val="left" w:pos="1134"/>
              </w:tabs>
              <w:ind w:left="0"/>
              <w:jc w:val="both"/>
              <w:rPr>
                <w:color w:val="000000" w:themeColor="text1"/>
              </w:rPr>
            </w:pPr>
            <w:r w:rsidRPr="00F2103C">
              <w:rPr>
                <w:color w:val="000000" w:themeColor="text1"/>
              </w:rPr>
              <w:t xml:space="preserve">Начало выполнения работ – </w:t>
            </w:r>
            <w:proofErr w:type="gramStart"/>
            <w:r w:rsidRPr="00F2103C">
              <w:rPr>
                <w:color w:val="000000" w:themeColor="text1"/>
              </w:rPr>
              <w:t>с даты подписания</w:t>
            </w:r>
            <w:proofErr w:type="gramEnd"/>
            <w:r w:rsidRPr="00F2103C">
              <w:rPr>
                <w:color w:val="000000" w:themeColor="text1"/>
              </w:rPr>
              <w:t xml:space="preserve"> договора.</w:t>
            </w:r>
          </w:p>
          <w:p w:rsidR="0014229A" w:rsidRPr="00F84878" w:rsidRDefault="00AA5B04" w:rsidP="00AA5B04">
            <w:pPr>
              <w:autoSpaceDE w:val="0"/>
              <w:autoSpaceDN w:val="0"/>
              <w:adjustRightInd w:val="0"/>
              <w:jc w:val="both"/>
            </w:pPr>
            <w:r w:rsidRPr="00F2103C">
              <w:rPr>
                <w:color w:val="000000" w:themeColor="text1"/>
              </w:rPr>
              <w:t>Срок выполнения Работ по договору не должен превышать 4 (четырех) месяцев с момента подписания договора</w:t>
            </w:r>
            <w:r>
              <w:rPr>
                <w:color w:val="000000" w:themeColor="text1"/>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802414">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lastRenderedPageBreak/>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w:t>
            </w:r>
            <w:r w:rsidRPr="00B03159">
              <w:lastRenderedPageBreak/>
              <w:t xml:space="preserve">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2" w:name="_Ref314562138"/>
            <w:r w:rsidRPr="006603A3">
              <w:t xml:space="preserve">2) </w:t>
            </w:r>
            <w:bookmarkEnd w:id="32"/>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fldSimple w:instr=" REF _Ref378853304 \r \h  \* MERGEFORMAT ">
              <w:r w:rsidR="00802414">
                <w:t>14</w:t>
              </w:r>
            </w:fldSimple>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3" w:name="_Ref313307290"/>
            <w:r w:rsidRPr="0010556F">
              <w:t xml:space="preserve">3) Предложение Претендента в отношении предмета </w:t>
            </w:r>
            <w:bookmarkStart w:id="34"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3"/>
          <w:bookmarkEnd w:id="34"/>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802414">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802414">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802414">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802414">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proofErr w:type="gramStart"/>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к</w:t>
      </w:r>
      <w:proofErr w:type="gramEnd"/>
      <w:r w:rsidR="00A26D8D" w:rsidRPr="00B30748">
        <w:t xml:space="preserve">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0C8" w:rsidRDefault="00C130C8" w:rsidP="0014229A">
      <w:r>
        <w:separator/>
      </w:r>
    </w:p>
  </w:endnote>
  <w:endnote w:type="continuationSeparator" w:id="0">
    <w:p w:rsidR="00C130C8" w:rsidRDefault="00C130C8"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0C8" w:rsidRDefault="00C130C8" w:rsidP="0014229A">
      <w:r>
        <w:separator/>
      </w:r>
    </w:p>
  </w:footnote>
  <w:footnote w:type="continuationSeparator" w:id="0">
    <w:p w:rsidR="00C130C8" w:rsidRDefault="00C130C8"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B04" w:rsidRDefault="00AA5B04">
    <w:pPr>
      <w:pStyle w:val="a6"/>
      <w:jc w:val="center"/>
    </w:pPr>
    <w:fldSimple w:instr="PAGE   \* MERGEFORMAT">
      <w:r w:rsidR="00802414">
        <w:rPr>
          <w:noProof/>
        </w:rPr>
        <w:t>1</w:t>
      </w:r>
    </w:fldSimple>
  </w:p>
  <w:p w:rsidR="00AA5B04" w:rsidRDefault="00AA5B0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03A6"/>
    <w:rsid w:val="00063084"/>
    <w:rsid w:val="00081F2D"/>
    <w:rsid w:val="00093E9C"/>
    <w:rsid w:val="000A086D"/>
    <w:rsid w:val="000A4ECA"/>
    <w:rsid w:val="000B7587"/>
    <w:rsid w:val="000D6510"/>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B4383"/>
    <w:rsid w:val="001B7CDD"/>
    <w:rsid w:val="001B7D6B"/>
    <w:rsid w:val="001C03F0"/>
    <w:rsid w:val="001C7491"/>
    <w:rsid w:val="001E363F"/>
    <w:rsid w:val="001F7110"/>
    <w:rsid w:val="00204117"/>
    <w:rsid w:val="00225AAC"/>
    <w:rsid w:val="00255E3F"/>
    <w:rsid w:val="0026485E"/>
    <w:rsid w:val="00271E94"/>
    <w:rsid w:val="002759F0"/>
    <w:rsid w:val="00281CCB"/>
    <w:rsid w:val="00294822"/>
    <w:rsid w:val="002B4C0E"/>
    <w:rsid w:val="002B6897"/>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51C4"/>
    <w:rsid w:val="00621D2C"/>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E34B5"/>
    <w:rsid w:val="007E5FE7"/>
    <w:rsid w:val="007F42A8"/>
    <w:rsid w:val="007F4768"/>
    <w:rsid w:val="00802414"/>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81BA1"/>
    <w:rsid w:val="00AA5B04"/>
    <w:rsid w:val="00AB0745"/>
    <w:rsid w:val="00AB0FBA"/>
    <w:rsid w:val="00AC57AF"/>
    <w:rsid w:val="00AD6F23"/>
    <w:rsid w:val="00AE4373"/>
    <w:rsid w:val="00B11876"/>
    <w:rsid w:val="00B33968"/>
    <w:rsid w:val="00B37EB4"/>
    <w:rsid w:val="00B63538"/>
    <w:rsid w:val="00B63A2C"/>
    <w:rsid w:val="00B67F64"/>
    <w:rsid w:val="00B7042F"/>
    <w:rsid w:val="00BA7B82"/>
    <w:rsid w:val="00BB726A"/>
    <w:rsid w:val="00BE09E3"/>
    <w:rsid w:val="00BE17CB"/>
    <w:rsid w:val="00C05429"/>
    <w:rsid w:val="00C05C89"/>
    <w:rsid w:val="00C130C8"/>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4565D"/>
    <w:rsid w:val="00D576D1"/>
    <w:rsid w:val="00D65197"/>
    <w:rsid w:val="00D94587"/>
    <w:rsid w:val="00D97FAB"/>
    <w:rsid w:val="00DA4E0B"/>
    <w:rsid w:val="00DB01E7"/>
    <w:rsid w:val="00DB2617"/>
    <w:rsid w:val="00DC450D"/>
    <w:rsid w:val="00DD278E"/>
    <w:rsid w:val="00E0314F"/>
    <w:rsid w:val="00E04EAE"/>
    <w:rsid w:val="00E245A7"/>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eme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3D593-FE56-4F05-9DCA-826CD2CED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22</Pages>
  <Words>8238</Words>
  <Characters>46959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10</cp:revision>
  <cp:lastPrinted>2016-07-14T11:38:00Z</cp:lastPrinted>
  <dcterms:created xsi:type="dcterms:W3CDTF">2016-04-29T09:08:00Z</dcterms:created>
  <dcterms:modified xsi:type="dcterms:W3CDTF">2016-07-14T11:38:00Z</dcterms:modified>
</cp:coreProperties>
</file>